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V 229</w:t>
      </w:r>
    </w:p>
    <w:p>
      <w:r>
        <w:t>Bundesgericht (BGE), 1984-08-22, DE</w:t>
      </w:r>
    </w:p>
    <w:p>
      <w:r>
        <w:rPr>
          <w:b/>
        </w:rPr>
        <w:t xml:space="preserve">Quelle: </w:t>
      </w:r>
      <w:r>
        <w:t>https://mcp.opencaselaw.ch/entscheid/bge_110 V 229</w:t>
      </w:r>
    </w:p>
    <w:p>
      <w:r>
        <w:t>FR: ATF 110 V 229</w:t>
      </w:r>
    </w:p>
    <w:p>
      <w:r>
        <w:t>IT: DTF 110 V 229</w:t>
      </w:r>
    </w:p>
    <w:p>
      <w:pPr>
        <w:pStyle w:val="Heading2"/>
      </w:pPr>
      <w:r>
        <w:t>Regeste</w:t>
      </w:r>
    </w:p>
    <w:p>
      <w:r>
        <w:t>Regeste a Art. 5 Abs. 4 AHVG, Art. 6 Abs. 2 lit. f AHVV. Die Verwaltungspraxis, wonach Haushaltszulagen an ledige, verwitwete oder geschiedene Arbeitnehmer von der Beitragspflicht nur befreit sind, wenn der Bezüger mit Kindern zusammenlebt, ist weder gesetzes- noch verordnungswidrig (Erw. 2 und 3).</w:t>
      </w:r>
    </w:p>
    <w:p>
      <w:r>
        <w:t>Regeste b Art. 39 AHVV. Inhaltliche Anforderungen an eine Nachzahlungsverfügung über paritätische Beiträge (Erw. 4).</w:t>
      </w:r>
    </w:p>
    <w:p>
      <w:pPr>
        <w:pStyle w:val="Heading2"/>
      </w:pPr>
      <w:r>
        <w:t>Erwägungen</w:t>
      </w:r>
    </w:p>
    <w:p>
      <w:r>
        <w:rPr>
          <w:b/>
        </w:rPr>
        <w:t>E. 1</w:t>
      </w:r>
    </w:p>
    <w:p>
      <w:r>
        <w:t>Da keine Versicherungsleistungen streitig sind, hat das Eidg. Versicherungsgericht nur zu prüfen, ob der vorinstanzliche Entscheid Bundesrecht verletzt,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Ferner ist Art. 114 Abs. 1 OG zu beachten, wonach das Eidg. Versicherungsgericht in Abgabestreitigkeiten an die Parteibegehren nicht gebunden ist, wenn es im Prozess um die Verletzung von Bundesrecht oder um die unrichtige oder unvollständige Feststellung des Sachverhalts geht ( BGE 102 V 30 ).</w:t>
      </w:r>
    </w:p>
    <w:p>
      <w:r>
        <w:rPr>
          <w:b/>
        </w:rPr>
        <w:t>E. 2</w:t>
      </w:r>
    </w:p>
    <w:p>
      <w:r>
        <w:t>a) Nach Art. 5 Abs. 1 und 14 Abs. 1 AHVG werden vom Einkommen aus unselbständiger Erwerbstätigkeit, dem massgebenden Lohn, Beiträge erhoben. Als massgebender Lohn gemäss Art. 5 Abs. 2 AHVG gilt jedes Entgelt für in unselbständiger Stellung auf bestimmte oder unbestimmte Zeit geleistete Arbeit. Zum massgebenden Lohn gehören begrifflich sämtliche Bezüge des Arbeitnehmers, die wirtschaftlich mit dem Arbeitsverhältnis zusammenhängen, gleichgültig, ob dieses Verhältnis fortbesteht oder gelöst worden ist und ob die Leistungen geschuldet werden oder freiwillig erfolgen. Als beitragspflichtiges Einkommen aus unselbständiger Erwerbstätigkeit gilt somit nicht nur unmittelbares Entgelt für geleistete Arbeit, sondern grundsätzlich jede Entschädigung oder Zuwendung, die sonstwie aus dem Arbeitsverhältnis bezogen wird, soweit sie nicht kraft ausdrücklicher gesetzlicher Vorschrift von der Beitragspflicht ausgenommen ist ( BGE 107 V 199 , BGE 106 V 135 Erw. 1). b) Nach Art. 5 Abs. 4 AHVG kann der Bundesrat Sozialleistungen sowie anlässlich besonderer Ereignisse erfolgende Zuwendungen eines Arbeitgebers an seine Arbeitnehmer vom Einbezug in den massgebenden Lohn ausnehmen. Der Bundesrat hat von dieser Befugnis Gebrauch gemacht und in Art. 6 Abs. 2 lit. f AHVV (in Kraft getreten am 1. Juli 1981, Verordnungsänderung vom 27. Mai 1981; früher lit. d) bestimmt, dass Familienzulagen, die als Kinder-, Ausbildungs-, Haushalts-, Heirats- und Geburtszulagen gewährt werden, nicht zum (beitragspflichtigen) Erwerbseinkommen gehören. Durch Art. 143 der Verordnung über die BGE 110 V 229 S. 232 Unfallversicherung (UVV) vom 20. Dezember 1982 wurde die Bestimmung auf den 1. Januar 1984 dahingehend ergänzt, dass sich die Beitragsbefreiung auf Familienzulagen "im orts- oder branchenüblichen Rahmen" beschränkt, womit eine bereits bestehende Praxis bestätigt wurde (vgl. ZAK 1980 S. 579). Das BSV hat in der Wegleitung über den massgebenden Lohn, gültig ab 1. Januar 1977, mit Nachträgen 1-5 (vereinigt in der Interimsausgabe, gültig ab 1. Januar 1984) Weisungen zur Beitragsbefreiung von Familienzulagen erlassen. Nach Rz. 5a der Wegleitung gehören nicht zum massgebenden Lohn Haushaltszulagen, die verheirateten Arbeitnehmern sowie ledigen, verwitweten oder geschiedenen Arbeitnehmern gewährt werden, die mit Kindern zusammenleben. Keine Haushaltszulagen im Sinne der Verordnungsbestimmung sind Zulagen, die auch alleinstehenden Arbeitnehmern gewährt werden.</w:t>
      </w:r>
    </w:p>
    <w:p>
      <w:r>
        <w:rPr>
          <w:b/>
        </w:rPr>
        <w:t>E. 3</w:t>
      </w:r>
    </w:p>
    <w:p>
      <w:r>
        <w:t>a) Laut Art. 23 und 24 des Kollektiv-Arbeitsvertrages für die Ciba-Geigy Werke Schweizerhalle AG, gültig ab 1. Januar 1981, haben deren Arbeitnehmer unter dem Titel "Sozialzulagen" Anspruch auf Familienzulagen sowie auf Kinderzulagen. Die Familienzulage von Fr. 50.-- im Monat wird nach Art. 23 des Vertrages ausbezahlt an: "a) verheiratete männliche Arbeitnehmer, b) verwitwete Arbeitnehmer beiderlei Geschlechts mit eigenem Haushalt, c) geschiedene Arbeitnehmer, welche gemäss Gerichtsurteil an die geschiedene Ehefrau Unterhaltsbeiträge bezahlen, d) geschiedene Arbeitnehmer beiderlei Geschlechts mit eigenem Haushalt und Kindern, für welche Anspruch auf Kinderzulagen besteht, e) ledige Mütter mit eigenem Haushalt und mit Kindern, für welche Anspruch auf Kinderzulagen besteht." Dabei handelt es sich, jedenfalls soweit hier streitig, um eigentliche Haushaltszulagen, denn sie werden pro Haushalt und nicht - wie die Kinderzulagen - nach der Anzahl der Kinder gewährt. Soweit der Anspruch nach Art. 23 lit. d und e des Vertrages vom Vorhandensein von Kindern abhängig gemacht wird, geht es lediglich um eine zusätzliche Voraussetzung dafür, dass der betreffende Arbeitnehmer Anspruch auf diese, von der Zahl der Kinder unabhängige Zulage hat. Die Voraussetzung des Vorhandenseins von Kindern wird von den Vertragsparteien offenbar dahingehend ausgelegt, dass es für den Anspruch bedeutungslos ist, ob der betreffende Arbeitnehmer mit den Kindern zusammenwohnt oder nicht. Gerade hierin besteht nach der Verwaltungspraxis aber das BGE 110 V 229 S. 233 massgebende Kriterium dafür, ob es sich um eine beitragsfreie Zulage handelt oder nicht. b) Die Vorinstanz erachtet den von der Ciba-Geigy Werke Schweizerhalle AG erhobenen Einwand, die Verwaltungspraxis führe zu willkürlichen Ergebnissen, als begründet und hält das Kriterium des gemeinsamen Haushaltes für nicht geeignet, um die Familienzulagen von andern Zulagen, denen der soziale Charakter abgehe, abzugrenzen. Ob eine vom Arbeitgeber ausgerichtete Zulage sozialen Charakter aufweise, lasse sich am ehesten anhand der wirtschaftlichen Situation des Bezügers entscheiden. Einen zuverlässigen Massstab für den Umfang der finanziellen Verpflichtungen eines Arbeitnehmers bilde der Begriff der familienrechtlichen Unterhaltspflicht. Zulagen, die ihren Rechtsgrund in der Existenz einer familienrechtlichen Unterhaltspflicht des Bezügers hätten, seien demnach als Familienzulagen im Sinne der Verordnungsbestimmung anzuerkennen. Dies gelte nicht nur für ledige, verheiratete oder geschiedene Arbeitnehmer, welche für ein Kind aufzukommen hätten, sondern auch für geschiedene Arbeitnehmer, welche gerichtlich zur Zahlung von Unterhaltsbeiträgen an den geschiedenen Ehegatten verpflichtet worden seien. Demzufolge seien Zulagen, die gestützt auf Art. 23 lit. a sowie c bis e des vorliegenden Kollektiv-Arbeitsvertrages ausgerichtet würden, vorbehaltlos als Familienzulagen im Sinne der AHV-Gesetzgebung anzuerkennen. Hinsichtlich der Zulagen, welche gemäss Art. 23 lit. b des Vertrages gewährt würden (Zulagen an verwitwete Arbeitnehmer beiderlei Geschlechts mit eigenem Haushalt), müsse hingegen eine Einschränkung gemacht werden. Habe ein verwitweter Arbeitnehmer keine Unterhaltsverpflichtung gegenüber Kindern, so könne die Leistung nicht als Familienzulage qualifiziert werden. Nur in diesen Fällen zähle die Zulage zum massgebenden Lohn mit der Folge, dass darauf Sozialversicherungsbeiträge zu erheben seien. c) Dieser Auffassung ist mit der Ausgleichskasse entgegenzuhalten, dass nach dem Wortlaut von Art. 6 Abs. 2 lit. f AHVV der Begriff der "Familienzulagen" als Oberbegriff zu den anschliessend im einzelnen aufgeführten Zulagen, worunter auch die Haushaltszulagen, zu verstehen ist. Diese sind demnach von der Beitragspflicht nur befreit, soweit ihnen der Charakter von Familienzulagen beizumessen ist. Den Charakter einer Familienzulage erhält die Haushaltszulage aber erst dadurch, dass der Arbeitnehmer mit Familienangehörigen einen gemeinsamen Haushalt führt, was bei unverheirateten Arbeitnehmern mit Kindern nur der Fall ist, BGE 110 V 229 S. 234 wenn sie mit einem oder mehreren Kindern zusammenleben. Wie das BSV ausführt, sollen mit den Haushaltszulagen zusätzliche Aufwendungen abgegolten werden, die sich daraus ergeben, dass der Arbeitnehmer mit Frau oder Kindern im gleichen Haushalt lebt. Solche zusätzliche Aufwendungen erwachsen alleinstehenden Personen nicht, auch wenn sie auswärts untergebrachte Kinder haben, für die Anspruch auf Kinderzulagen besteht. In diesen Fällen sind lediglich die Kinderzulagen beitragsfrei, wogegen eine allfällige Haushaltszulage nicht als beitragsfreie Familienzulage im Sinne von Art. 6 Abs. 2 lit. f AHVV qualifiziert werden kann. Die Verwaltungspraxis, dergemäss Haushaltszulagen an ledige, verwitwete oder geschiedene Arbeitnehmer von der Beitragspflicht nur befreit sind, wenn der Bezüger mit Kindern zusammenlebt, erweist sich somit nicht als gesetzes- oder verordnungswidrig. Sie führt entgegen den Ausführungen der Beschwerdegegnerin im vorinstanzlichen Verfahren auch nicht zu willkürlichen Ergebnissen. Ähnliche Regelungen finden sich denn auch in andern Sozialversicherungszweigen (vgl. Art. 4 Abs. 1 EOG , anwendbar auch auf die Invalidenversicherung gemäss Art. 23 Abs. 2 IVG , sowie Art. 3 Abs. 1 lit. a FLG ).</w:t>
      </w:r>
    </w:p>
    <w:p>
      <w:r>
        <w:rPr>
          <w:b/>
        </w:rPr>
        <w:t>E. 4</w:t>
      </w:r>
    </w:p>
    <w:p>
      <w:r>
        <w:t>a) Nachzahlungsverfügungen im Sinne von Art. 39 AHVV , mit welchen über paritätische Beiträge verfügt wird, müssen - zumindest in einer detaillierten Beilage - die für die Verbuchung der Beiträge und für die Eintragung in die individuellen Konten benötigten Angaben enthalten. Eine schätzungsweise Ermittlung des beitragspflichtigen Lohnes und die blosse Angabe einer Pauschalsumme sind nur in Ausnahmefällen zulässig, beispielsweise wenn es der Arbeitgeber unterlässt, die für die Ausgleichskassen notwendigen Angaben zu machen, und sich die Kasse deshalb zum Erlass einer Veranlagungsverfügung gezwungen sieht (nicht veröffentlichtes Urteil Hoffmann-La Roche vom 25. November 1982; EVGE 1961 S. 148, ZAK 1954 S. 153). b) Im vorliegenden Fall hat die Ausgleichskasse die Nachzahlung in Form einer nicht individualisierten Pauschalsumme geltend gemacht, wobei sie aufgrund des Berichtes über die Arbeitgeberkontrolle davon ausging, dass die jährliche Haushaltszulage von je Fr. 600.-- im Jahre 1978 an 20 unverheiratete Männer und 10 unverheiratete Frauen und im Jahre 1979 an 24 unverheiratete Männer und 10 unverheiratete Frauen ausgerichtet worden ist. Ob diese Personen mit Kindern zusammenlebten, wurde, weil angeblich nicht mehr zuverlässig feststellbar, nicht untersucht. Es wurde BGE 110 V 229 S. 235 lediglich schätzungsweise angenommen, dass keine unverheirateten Männer, aber 90% der unverheirateten Frauen mit Kindern zusammenlebten. Danach ergab sich für beide Jahre eine beitragspflichtige Lohnsumme von zusammen Fr. 27'600.--. Diese von der Vorinstanz übernommene Sachverhaltsfeststellung erweist sich als offensichtlich unvollständig. Daraus, dass im Kontrollbericht die Zahl der Männer und Frauen, welche die fraglichen Haushaltszulagen bezogen haben, im einzelnen angegeben wird, muss geschlossen werden, dass der Revisionsstelle, welcher auch die Lohnbuchhaltung zur Verfügung gestanden hat, die Namen der betreffenden Arbeitnehmer bekannt waren. Es wäre daher Pflicht der Revisionsstelle bzw. der Ausgleichskasse gewesen, zumindest den konkreten Versuch einer Abklärung darüber zu machen, ob diese Personen mit Kindern zusammenlebten. Die Ausgleichskasse durfte sich nicht mit der Feststellung begnügen, die Arbeitgeberin habe "die für den IK-Eintrag erforderlichen Angaben nicht geliefert". Wenn die Firma nicht von sich aus Erkundigungen darüber eingezogen hat, ob die Bezüger mit Kindern zusammenlebten, so kann ihr hieraus kein Vorwurf gemacht werden, zumal ein ihr früher von der Kasse zugestelltes Orientierungsschreiben keinen entsprechenden Hinweis enthielt. Die Kasse hätte somit - soweit notwendig und möglich unter Mitwirkung der Arbeitgeberin - von Amtes wegen eine nähere Abklärung vornehmen müssen. c) Weil demzufolge die Voraussetzungen für eine Nachforderung in Form einer bloss schätzungsweise ermittelten und nicht individualisierten Pauschalsumme nicht gegeben waren, erweist sich die Verfügung in der vorliegenden Form als unzulässig. Nebst dem vorinstanzlichen Entscheid ist daher auch die Kassenverfügung vom 20. Juli 1981 aufzuheben, und es ist die Sache an die Ausgleichskasse zurückzuweisen zu ergänzender Abklärung und zu neuer Verfügung. Dabei wird zu beachten sein, dass eine unzulässige Nachzahlungsverfügung den Eintritt der Verwirkung gemäss Art. 16 Abs. 1 AHVG in der Regel nicht zu hindern vermag (nicht veröffentlichtes Urteil Hoffmann-La Roche vom 25. November 1982; EVGE 1963 S. 186). Dispositiv Demnach erkennt das Eidg. Versicherungsgericht: Die Verwaltungsgerichtsbeschwerde wird in dem Sinne teilweise gutgeheissen, dass der Entscheid des Versicherungsgerichts des BGE 110 V 229 S. 236 Kantons Basel-Landschaft vom 13. Juli 1983 und die Kassenverfügung vom 20. Juli 1981 aufgehoben werden und die Sache an die Ausgleichskasse des Verbandes der Industriellen von Baselland zurückgewiesen wird, damit sie, nach Abklärung im Sinne der Erwägungen, neu verfüge.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